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A4" w:rsidRDefault="001370A4" w:rsidP="001370A4">
      <w:pPr>
        <w:widowControl/>
        <w:suppressAutoHyphens w:val="0"/>
        <w:spacing w:line="276" w:lineRule="auto"/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  <w:t>Załącznik nr 2</w:t>
      </w:r>
      <w:r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  <w:t>. Formularz cenowy – pomiary natężenia pola-EM</w:t>
      </w:r>
    </w:p>
    <w:p w:rsidR="001370A4" w:rsidRDefault="001370A4" w:rsidP="001370A4">
      <w:pPr>
        <w:widowControl/>
        <w:suppressAutoHyphens w:val="0"/>
        <w:spacing w:line="276" w:lineRule="auto"/>
        <w:rPr>
          <w:rFonts w:ascii="Arial Narrow" w:eastAsiaTheme="minorHAnsi" w:hAnsi="Arial Narrow"/>
          <w:kern w:val="0"/>
          <w:sz w:val="24"/>
          <w:szCs w:val="24"/>
          <w:lang w:eastAsia="en-US"/>
        </w:rPr>
      </w:pP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9"/>
        <w:gridCol w:w="3623"/>
        <w:gridCol w:w="1701"/>
        <w:gridCol w:w="992"/>
        <w:gridCol w:w="1276"/>
        <w:gridCol w:w="708"/>
        <w:gridCol w:w="709"/>
        <w:gridCol w:w="1134"/>
      </w:tblGrid>
      <w:tr w:rsidR="001370A4" w:rsidTr="003701FC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Czynność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Źródło/urządzenie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Liczba urządzeń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Podatek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brutto [zł]</w:t>
            </w:r>
          </w:p>
        </w:tc>
      </w:tr>
      <w:tr w:rsidR="001370A4" w:rsidTr="003701FC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kwota [zł]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„Podstawami i metodami oceny środowiska pracy”, 2016, nr 4 (90), </w:t>
            </w:r>
          </w:p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s.151-180 z wyliczeniem wskaźnika </w:t>
            </w:r>
            <w:r w:rsidRPr="00232350"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Urządzenia do magnetoterapii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 w:rsidRPr="00232350"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Rezonans magnetyczny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 w:rsidRPr="00232350"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Diatermia chirurgiczna (62)</w:t>
            </w:r>
          </w:p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Diatermia </w:t>
            </w:r>
          </w:p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fizykoterapeutyczna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Laminowanie rysunków z zaznaczonymi strefami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Oznakowanie znakami ostrzegawczymi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Opracowanie sprawozdań z pomiarów w dwóch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1370A4" w:rsidTr="003701F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A4" w:rsidRDefault="001370A4" w:rsidP="001370A4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4" w:rsidRDefault="001370A4" w:rsidP="003701FC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3F495A" w:rsidRDefault="003F495A">
      <w:bookmarkStart w:id="0" w:name="_GoBack"/>
      <w:bookmarkEnd w:id="0"/>
    </w:p>
    <w:sectPr w:rsidR="003F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7286"/>
    <w:multiLevelType w:val="hybridMultilevel"/>
    <w:tmpl w:val="7F14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A4"/>
    <w:rsid w:val="001370A4"/>
    <w:rsid w:val="003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77B3-124E-4290-B15D-B251CB9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0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1370A4"/>
    <w:pPr>
      <w:ind w:left="720"/>
    </w:pPr>
    <w:rPr>
      <w:rFonts w:eastAsia="SimSun" w:cs="Lucida Sans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1370A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37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Grazyna Kedzierska</cp:lastModifiedBy>
  <cp:revision>1</cp:revision>
  <dcterms:created xsi:type="dcterms:W3CDTF">2024-02-14T09:20:00Z</dcterms:created>
  <dcterms:modified xsi:type="dcterms:W3CDTF">2024-02-14T09:22:00Z</dcterms:modified>
</cp:coreProperties>
</file>